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43F9" w14:textId="0F8DE0A1" w:rsidR="00A10EC1" w:rsidRPr="00BF4628" w:rsidRDefault="00BF4628" w:rsidP="00BD671F">
      <w:pPr>
        <w:rPr>
          <w:sz w:val="22"/>
          <w:szCs w:val="24"/>
          <w:lang w:val="pl-PL"/>
        </w:rPr>
      </w:pPr>
      <w:r w:rsidRPr="00BF4628">
        <w:rPr>
          <w:sz w:val="22"/>
          <w:szCs w:val="24"/>
          <w:lang w:val="pl-PL"/>
        </w:rPr>
        <w:t>ENG</w:t>
      </w:r>
    </w:p>
    <w:p w14:paraId="02CEE63C" w14:textId="77777777" w:rsidR="00BF4628" w:rsidRPr="00BF4628" w:rsidRDefault="00BF4628" w:rsidP="00BD671F">
      <w:pPr>
        <w:rPr>
          <w:sz w:val="22"/>
          <w:szCs w:val="24"/>
          <w:lang w:val="pl-PL"/>
        </w:rPr>
      </w:pPr>
    </w:p>
    <w:p w14:paraId="395F6804" w14:textId="0A455AF3" w:rsidR="00BF4628" w:rsidRPr="00BF4628" w:rsidRDefault="00BF4628" w:rsidP="00BD671F">
      <w:pPr>
        <w:rPr>
          <w:b/>
          <w:bCs/>
          <w:sz w:val="22"/>
          <w:szCs w:val="24"/>
          <w:lang w:val="pl-PL"/>
        </w:rPr>
      </w:pPr>
      <w:proofErr w:type="spellStart"/>
      <w:r w:rsidRPr="00BF4628">
        <w:rPr>
          <w:b/>
          <w:bCs/>
          <w:sz w:val="22"/>
          <w:szCs w:val="24"/>
          <w:lang w:val="pl-PL"/>
        </w:rPr>
        <w:t>Whistleblowing</w:t>
      </w:r>
      <w:proofErr w:type="spellEnd"/>
      <w:r w:rsidRPr="00BF4628">
        <w:rPr>
          <w:b/>
          <w:bCs/>
          <w:sz w:val="22"/>
          <w:szCs w:val="24"/>
          <w:lang w:val="pl-PL"/>
        </w:rPr>
        <w:t xml:space="preserve"> </w:t>
      </w:r>
      <w:proofErr w:type="spellStart"/>
      <w:r w:rsidRPr="00BF4628">
        <w:rPr>
          <w:b/>
          <w:bCs/>
          <w:sz w:val="22"/>
          <w:szCs w:val="24"/>
          <w:lang w:val="pl-PL"/>
        </w:rPr>
        <w:t>Procedure</w:t>
      </w:r>
      <w:proofErr w:type="spellEnd"/>
    </w:p>
    <w:p w14:paraId="330F0FF0" w14:textId="77777777" w:rsidR="00BF4628" w:rsidRPr="00BF4628" w:rsidRDefault="00BF4628" w:rsidP="00BD671F">
      <w:pPr>
        <w:rPr>
          <w:sz w:val="22"/>
          <w:szCs w:val="24"/>
          <w:lang w:val="pl-PL"/>
        </w:rPr>
      </w:pPr>
    </w:p>
    <w:p w14:paraId="3F26E6CE" w14:textId="7736AD0A" w:rsidR="00BF4628" w:rsidRDefault="00BF4628" w:rsidP="00BF4628">
      <w:pPr>
        <w:rPr>
          <w:sz w:val="22"/>
          <w:szCs w:val="24"/>
          <w:lang w:val="en-US"/>
        </w:rPr>
      </w:pPr>
      <w:r w:rsidRPr="00BF4628">
        <w:rPr>
          <w:sz w:val="22"/>
          <w:szCs w:val="24"/>
          <w:lang w:val="en-US"/>
        </w:rPr>
        <w:t xml:space="preserve">Compliance with statutory provisions and accepted standards (Compliance) are fundamental principles of our Company and are given absolute priority. They form the basis for a high market position, trust among customers and business partners, employee welfare and sustainable business </w:t>
      </w:r>
      <w:proofErr w:type="spellStart"/>
      <w:r w:rsidRPr="00BF4628">
        <w:rPr>
          <w:sz w:val="22"/>
          <w:szCs w:val="24"/>
          <w:lang w:val="en-US"/>
        </w:rPr>
        <w:t>succes</w:t>
      </w:r>
      <w:proofErr w:type="spellEnd"/>
      <w:r w:rsidRPr="00BF4628">
        <w:rPr>
          <w:sz w:val="22"/>
          <w:szCs w:val="24"/>
          <w:lang w:val="en-US"/>
        </w:rPr>
        <w:t>.</w:t>
      </w:r>
      <w:r>
        <w:rPr>
          <w:sz w:val="22"/>
          <w:szCs w:val="24"/>
          <w:lang w:val="en-US"/>
        </w:rPr>
        <w:t xml:space="preserve"> </w:t>
      </w:r>
      <w:r w:rsidRPr="00BF4628">
        <w:rPr>
          <w:sz w:val="22"/>
          <w:szCs w:val="24"/>
          <w:lang w:val="en-US"/>
        </w:rPr>
        <w:t xml:space="preserve">With this in mind, this </w:t>
      </w:r>
      <w:r>
        <w:rPr>
          <w:sz w:val="22"/>
          <w:szCs w:val="24"/>
          <w:lang w:val="en-US"/>
        </w:rPr>
        <w:t>g</w:t>
      </w:r>
      <w:r w:rsidRPr="00BF4628">
        <w:rPr>
          <w:sz w:val="22"/>
          <w:szCs w:val="24"/>
          <w:lang w:val="en-US"/>
        </w:rPr>
        <w:t xml:space="preserve">uideline shall be implemented to regulate the reporting of </w:t>
      </w:r>
      <w:r>
        <w:rPr>
          <w:sz w:val="22"/>
          <w:szCs w:val="24"/>
          <w:lang w:val="en-US"/>
        </w:rPr>
        <w:t>v</w:t>
      </w:r>
      <w:r w:rsidRPr="00BF4628">
        <w:rPr>
          <w:sz w:val="22"/>
          <w:szCs w:val="24"/>
          <w:lang w:val="en-US"/>
        </w:rPr>
        <w:t xml:space="preserve">iolations and the management of such </w:t>
      </w:r>
      <w:r>
        <w:rPr>
          <w:sz w:val="22"/>
          <w:szCs w:val="24"/>
          <w:lang w:val="en-US"/>
        </w:rPr>
        <w:t>r</w:t>
      </w:r>
      <w:r w:rsidRPr="00BF4628">
        <w:rPr>
          <w:sz w:val="22"/>
          <w:szCs w:val="24"/>
          <w:lang w:val="en-US"/>
        </w:rPr>
        <w:t xml:space="preserve">eports. </w:t>
      </w:r>
    </w:p>
    <w:p w14:paraId="4CA469CF" w14:textId="77777777" w:rsidR="00BF4628" w:rsidRDefault="00BF4628" w:rsidP="00BF4628">
      <w:pPr>
        <w:rPr>
          <w:sz w:val="22"/>
          <w:szCs w:val="24"/>
          <w:lang w:val="en-US"/>
        </w:rPr>
      </w:pPr>
    </w:p>
    <w:p w14:paraId="218754C4" w14:textId="77777777" w:rsidR="00BF4628" w:rsidRDefault="00BF4628" w:rsidP="00BF4628">
      <w:pPr>
        <w:rPr>
          <w:sz w:val="22"/>
          <w:szCs w:val="24"/>
          <w:lang w:val="en-US"/>
        </w:rPr>
      </w:pPr>
    </w:p>
    <w:p w14:paraId="61F8EDB6" w14:textId="739EC29D" w:rsidR="00BF4628" w:rsidRDefault="00BF4628" w:rsidP="00BF4628">
      <w:pPr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PL</w:t>
      </w:r>
    </w:p>
    <w:p w14:paraId="1BF80D7F" w14:textId="77777777" w:rsidR="00BF4628" w:rsidRDefault="00BF4628" w:rsidP="00BF4628">
      <w:pPr>
        <w:rPr>
          <w:sz w:val="22"/>
          <w:szCs w:val="24"/>
          <w:lang w:val="en-US"/>
        </w:rPr>
      </w:pPr>
    </w:p>
    <w:p w14:paraId="77ED8401" w14:textId="7F43A442" w:rsidR="00BF4628" w:rsidRPr="00BF4628" w:rsidRDefault="00BF4628" w:rsidP="00BF4628">
      <w:pPr>
        <w:rPr>
          <w:b/>
          <w:bCs/>
          <w:sz w:val="22"/>
          <w:szCs w:val="24"/>
          <w:lang w:val="en-US"/>
        </w:rPr>
      </w:pPr>
      <w:proofErr w:type="spellStart"/>
      <w:r w:rsidRPr="00BF4628">
        <w:rPr>
          <w:b/>
          <w:bCs/>
          <w:sz w:val="22"/>
          <w:szCs w:val="24"/>
          <w:lang w:val="en-US"/>
        </w:rPr>
        <w:t>Procedura</w:t>
      </w:r>
      <w:proofErr w:type="spellEnd"/>
      <w:r w:rsidRPr="00BF4628">
        <w:rPr>
          <w:b/>
          <w:bCs/>
          <w:sz w:val="22"/>
          <w:szCs w:val="24"/>
          <w:lang w:val="en-US"/>
        </w:rPr>
        <w:t xml:space="preserve"> </w:t>
      </w:r>
      <w:proofErr w:type="spellStart"/>
      <w:r w:rsidRPr="00BF4628">
        <w:rPr>
          <w:b/>
          <w:bCs/>
          <w:sz w:val="22"/>
          <w:szCs w:val="24"/>
          <w:lang w:val="en-US"/>
        </w:rPr>
        <w:t>zgłaszania</w:t>
      </w:r>
      <w:proofErr w:type="spellEnd"/>
      <w:r w:rsidRPr="00BF4628">
        <w:rPr>
          <w:b/>
          <w:bCs/>
          <w:sz w:val="22"/>
          <w:szCs w:val="24"/>
          <w:lang w:val="en-US"/>
        </w:rPr>
        <w:t xml:space="preserve"> </w:t>
      </w:r>
      <w:proofErr w:type="spellStart"/>
      <w:r w:rsidRPr="00BF4628">
        <w:rPr>
          <w:b/>
          <w:bCs/>
          <w:sz w:val="22"/>
          <w:szCs w:val="24"/>
          <w:lang w:val="en-US"/>
        </w:rPr>
        <w:t>Nieprawidłowości</w:t>
      </w:r>
      <w:proofErr w:type="spellEnd"/>
    </w:p>
    <w:p w14:paraId="1F00A5E0" w14:textId="5271391D" w:rsidR="00BF4628" w:rsidRDefault="00BF4628" w:rsidP="00BD671F">
      <w:pPr>
        <w:rPr>
          <w:sz w:val="22"/>
          <w:szCs w:val="24"/>
          <w:lang w:val="en-US"/>
        </w:rPr>
      </w:pPr>
    </w:p>
    <w:p w14:paraId="0EBFFCFD" w14:textId="77777777" w:rsidR="00BF4628" w:rsidRPr="00BF4628" w:rsidRDefault="00BF4628" w:rsidP="00BF4628">
      <w:pPr>
        <w:rPr>
          <w:sz w:val="22"/>
          <w:szCs w:val="24"/>
          <w:lang w:val="pl-PL"/>
        </w:rPr>
      </w:pPr>
      <w:r w:rsidRPr="00BF4628">
        <w:rPr>
          <w:sz w:val="22"/>
          <w:szCs w:val="24"/>
          <w:lang w:val="pl-PL"/>
        </w:rPr>
        <w:t>Zgodność z przepisami ustawowymi i przyjętymi normami (Compliance) stanowią</w:t>
      </w:r>
    </w:p>
    <w:p w14:paraId="76594149" w14:textId="77777777" w:rsidR="00BF4628" w:rsidRPr="00BF4628" w:rsidRDefault="00BF4628" w:rsidP="00BF4628">
      <w:pPr>
        <w:rPr>
          <w:sz w:val="22"/>
          <w:szCs w:val="24"/>
          <w:lang w:val="pl-PL"/>
        </w:rPr>
      </w:pPr>
      <w:r w:rsidRPr="00BF4628">
        <w:rPr>
          <w:sz w:val="22"/>
          <w:szCs w:val="24"/>
          <w:lang w:val="pl-PL"/>
        </w:rPr>
        <w:t>podstawowe zasady działania naszej Spółki i są traktowane absolutnie priorytetowo. Tworzą</w:t>
      </w:r>
    </w:p>
    <w:p w14:paraId="592A8361" w14:textId="77777777" w:rsidR="00BF4628" w:rsidRPr="00BF4628" w:rsidRDefault="00BF4628" w:rsidP="00BF4628">
      <w:pPr>
        <w:rPr>
          <w:sz w:val="22"/>
          <w:szCs w:val="24"/>
          <w:lang w:val="pl-PL"/>
        </w:rPr>
      </w:pPr>
      <w:r w:rsidRPr="00BF4628">
        <w:rPr>
          <w:sz w:val="22"/>
          <w:szCs w:val="24"/>
          <w:lang w:val="pl-PL"/>
        </w:rPr>
        <w:t>one podstawę wysokiej pozycji na rynku, zaufania wśród klientów i partnerów handlowych,</w:t>
      </w:r>
    </w:p>
    <w:p w14:paraId="0D50125C" w14:textId="26E63AEE" w:rsidR="00BF4628" w:rsidRDefault="00BF4628" w:rsidP="00BF4628">
      <w:pPr>
        <w:rPr>
          <w:sz w:val="22"/>
          <w:szCs w:val="24"/>
          <w:lang w:val="pl-PL"/>
        </w:rPr>
      </w:pPr>
      <w:r w:rsidRPr="00BF4628">
        <w:rPr>
          <w:sz w:val="22"/>
          <w:szCs w:val="24"/>
          <w:lang w:val="pl-PL"/>
        </w:rPr>
        <w:t>dobrostanu pracowników oraz trwałego sukcesu gospodarczego.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>Mając na uwadze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 xml:space="preserve">powyższe, wdraża się niniejszą </w:t>
      </w:r>
      <w:r>
        <w:rPr>
          <w:sz w:val="22"/>
          <w:szCs w:val="24"/>
          <w:lang w:val="pl-PL"/>
        </w:rPr>
        <w:t>w</w:t>
      </w:r>
      <w:r w:rsidRPr="00BF4628">
        <w:rPr>
          <w:sz w:val="22"/>
          <w:szCs w:val="24"/>
          <w:lang w:val="pl-PL"/>
        </w:rPr>
        <w:t>ytyczną w celu uregulowania zasad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 xml:space="preserve">zgłaszania </w:t>
      </w:r>
      <w:r>
        <w:rPr>
          <w:sz w:val="22"/>
          <w:szCs w:val="24"/>
          <w:lang w:val="pl-PL"/>
        </w:rPr>
        <w:t>n</w:t>
      </w:r>
      <w:r w:rsidRPr="00BF4628">
        <w:rPr>
          <w:sz w:val="22"/>
          <w:szCs w:val="24"/>
          <w:lang w:val="pl-PL"/>
        </w:rPr>
        <w:t xml:space="preserve">ieprawidłowości i zarządzania takimi </w:t>
      </w:r>
      <w:r>
        <w:rPr>
          <w:sz w:val="22"/>
          <w:szCs w:val="24"/>
          <w:lang w:val="pl-PL"/>
        </w:rPr>
        <w:t>z</w:t>
      </w:r>
      <w:r w:rsidRPr="00BF4628">
        <w:rPr>
          <w:sz w:val="22"/>
          <w:szCs w:val="24"/>
          <w:lang w:val="pl-PL"/>
        </w:rPr>
        <w:t>głoszeniami.</w:t>
      </w:r>
    </w:p>
    <w:p w14:paraId="1E905549" w14:textId="77777777" w:rsidR="00BF4628" w:rsidRDefault="00BF4628" w:rsidP="00BF4628">
      <w:pPr>
        <w:rPr>
          <w:sz w:val="22"/>
          <w:szCs w:val="24"/>
          <w:lang w:val="pl-PL"/>
        </w:rPr>
      </w:pPr>
    </w:p>
    <w:p w14:paraId="7261AA84" w14:textId="77777777" w:rsidR="00BF4628" w:rsidRDefault="00BF4628" w:rsidP="00BF4628">
      <w:pPr>
        <w:rPr>
          <w:sz w:val="22"/>
          <w:szCs w:val="24"/>
          <w:lang w:val="pl-PL"/>
        </w:rPr>
      </w:pPr>
    </w:p>
    <w:p w14:paraId="10BCAACC" w14:textId="2D7FCBD7" w:rsidR="00BF4628" w:rsidRDefault="00BF4628" w:rsidP="00BF4628">
      <w:pPr>
        <w:rPr>
          <w:sz w:val="22"/>
          <w:szCs w:val="24"/>
          <w:lang w:val="pl-PL"/>
        </w:rPr>
      </w:pPr>
      <w:r>
        <w:rPr>
          <w:sz w:val="22"/>
          <w:szCs w:val="24"/>
          <w:lang w:val="pl-PL"/>
        </w:rPr>
        <w:t>DE</w:t>
      </w:r>
    </w:p>
    <w:p w14:paraId="324E8575" w14:textId="77777777" w:rsidR="00BF4628" w:rsidRDefault="00BF4628" w:rsidP="00BF4628">
      <w:pPr>
        <w:rPr>
          <w:sz w:val="22"/>
          <w:szCs w:val="24"/>
          <w:lang w:val="pl-PL"/>
        </w:rPr>
      </w:pPr>
    </w:p>
    <w:p w14:paraId="29D7B088" w14:textId="4FD21718" w:rsidR="00BF4628" w:rsidRPr="00BF4628" w:rsidRDefault="00BF4628" w:rsidP="00BF4628">
      <w:pPr>
        <w:rPr>
          <w:color w:val="FF0000"/>
          <w:sz w:val="22"/>
          <w:szCs w:val="24"/>
          <w:lang w:val="en-US"/>
        </w:rPr>
      </w:pPr>
      <w:r w:rsidRPr="00BF4628">
        <w:rPr>
          <w:color w:val="FF0000"/>
          <w:sz w:val="22"/>
          <w:szCs w:val="24"/>
          <w:lang w:val="en-US"/>
        </w:rPr>
        <w:t>It has not been published yet.</w:t>
      </w:r>
      <w:r w:rsidRPr="00BF4628">
        <w:rPr>
          <w:color w:val="FF0000"/>
          <w:sz w:val="22"/>
          <w:szCs w:val="24"/>
          <w:lang w:val="en-US"/>
        </w:rPr>
        <w:t xml:space="preserve"> </w:t>
      </w:r>
      <w:r w:rsidRPr="00BF4628">
        <w:rPr>
          <w:color w:val="FF0000"/>
          <w:sz w:val="22"/>
          <w:szCs w:val="24"/>
          <w:lang w:val="en-US"/>
        </w:rPr>
        <w:t>However, we can put the other language versions and a description of the guideline on the German website.</w:t>
      </w:r>
    </w:p>
    <w:p w14:paraId="2CB413F5" w14:textId="77777777" w:rsidR="00BF4628" w:rsidRDefault="00BF4628" w:rsidP="00BF4628">
      <w:pPr>
        <w:rPr>
          <w:sz w:val="22"/>
          <w:szCs w:val="24"/>
          <w:lang w:val="en-US"/>
        </w:rPr>
      </w:pPr>
    </w:p>
    <w:p w14:paraId="67052013" w14:textId="51E8FDEF" w:rsidR="00BF4628" w:rsidRPr="00BF4628" w:rsidRDefault="00BF4628" w:rsidP="00BF4628">
      <w:pPr>
        <w:rPr>
          <w:b/>
          <w:bCs/>
          <w:sz w:val="22"/>
          <w:szCs w:val="24"/>
          <w:lang w:val="en-US"/>
        </w:rPr>
      </w:pPr>
      <w:proofErr w:type="spellStart"/>
      <w:r w:rsidRPr="00BF4628">
        <w:rPr>
          <w:b/>
          <w:bCs/>
          <w:sz w:val="22"/>
          <w:szCs w:val="24"/>
          <w:lang w:val="en-US"/>
        </w:rPr>
        <w:t>Hinweisgebungsverfahren</w:t>
      </w:r>
      <w:proofErr w:type="spellEnd"/>
    </w:p>
    <w:p w14:paraId="088E7EFC" w14:textId="77777777" w:rsidR="00BF4628" w:rsidRDefault="00BF4628" w:rsidP="00BF4628">
      <w:pPr>
        <w:rPr>
          <w:sz w:val="22"/>
          <w:szCs w:val="24"/>
          <w:lang w:val="en-US"/>
        </w:rPr>
      </w:pPr>
    </w:p>
    <w:p w14:paraId="0E37FF52" w14:textId="272DEFED" w:rsidR="00BF4628" w:rsidRPr="00BF4628" w:rsidRDefault="00BF4628" w:rsidP="00BF4628">
      <w:pPr>
        <w:rPr>
          <w:sz w:val="22"/>
          <w:szCs w:val="24"/>
        </w:rPr>
      </w:pPr>
      <w:r w:rsidRPr="00BF4628">
        <w:rPr>
          <w:sz w:val="22"/>
          <w:szCs w:val="24"/>
        </w:rPr>
        <w:t>Die Einhaltung gesetzlicher Vorschriften und anerkannter Standards (Compliance) sind grundlegende Prinzipien unseres Unternehmens und haben absolute Priorität. Sie bilden die Grundlage für eine starke Marktposition, das Vertrauen unserer Kunden und</w:t>
      </w:r>
      <w:r>
        <w:rPr>
          <w:sz w:val="22"/>
          <w:szCs w:val="24"/>
        </w:rPr>
        <w:t xml:space="preserve"> </w:t>
      </w:r>
      <w:r w:rsidRPr="00BF4628">
        <w:rPr>
          <w:sz w:val="22"/>
          <w:szCs w:val="24"/>
        </w:rPr>
        <w:t>Geschäftspartner, das Wohlergehen unserer Mitarbeiter und einen nachhaltigen Geschäftserfolg. Vor diesem Hintergrund wird diese Richtlinie umgesetzt, um die Meldung von Verstößen und den Umgang mit solchen Meldungen zu regeln.</w:t>
      </w:r>
    </w:p>
    <w:p w14:paraId="40F4426B" w14:textId="77777777" w:rsidR="00BF4628" w:rsidRPr="00BF4628" w:rsidRDefault="00BF4628" w:rsidP="00BF4628">
      <w:pPr>
        <w:rPr>
          <w:sz w:val="22"/>
          <w:szCs w:val="24"/>
        </w:rPr>
      </w:pPr>
    </w:p>
    <w:p w14:paraId="4FE50D1A" w14:textId="77777777" w:rsidR="00BF4628" w:rsidRPr="00BF4628" w:rsidRDefault="00BF4628" w:rsidP="00BF4628">
      <w:pPr>
        <w:rPr>
          <w:sz w:val="22"/>
          <w:szCs w:val="24"/>
        </w:rPr>
      </w:pPr>
    </w:p>
    <w:p w14:paraId="7364EC4B" w14:textId="3C9BC0B7" w:rsidR="00BF4628" w:rsidRDefault="00BF4628" w:rsidP="00BF4628">
      <w:pPr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CN</w:t>
      </w:r>
    </w:p>
    <w:p w14:paraId="0D1ED574" w14:textId="77777777" w:rsidR="00BF4628" w:rsidRPr="00BF4628" w:rsidRDefault="00BF4628" w:rsidP="00BF4628">
      <w:pPr>
        <w:rPr>
          <w:sz w:val="22"/>
          <w:szCs w:val="24"/>
          <w:lang w:val="pl-PL"/>
        </w:rPr>
      </w:pPr>
    </w:p>
    <w:p w14:paraId="525BD4F6" w14:textId="72EF7E7B" w:rsidR="00BF4628" w:rsidRPr="00BF4628" w:rsidRDefault="00BF4628" w:rsidP="00BF4628">
      <w:pPr>
        <w:rPr>
          <w:b/>
          <w:bCs/>
          <w:sz w:val="22"/>
          <w:szCs w:val="24"/>
          <w:lang w:val="pl-PL"/>
        </w:rPr>
      </w:pPr>
      <w:r w:rsidRPr="00BF4628">
        <w:rPr>
          <w:b/>
          <w:bCs/>
          <w:sz w:val="22"/>
          <w:szCs w:val="24"/>
          <w:lang w:val="pl-PL"/>
        </w:rPr>
        <w:t xml:space="preserve"> </w:t>
      </w:r>
      <w:proofErr w:type="spellStart"/>
      <w:r w:rsidRPr="00BF4628">
        <w:rPr>
          <w:b/>
          <w:bCs/>
          <w:sz w:val="22"/>
          <w:szCs w:val="24"/>
          <w:lang w:val="pl-PL"/>
        </w:rPr>
        <w:t>Brose</w:t>
      </w:r>
      <w:proofErr w:type="spellEnd"/>
      <w:r w:rsidRPr="00BF4628">
        <w:rPr>
          <w:b/>
          <w:bCs/>
          <w:sz w:val="22"/>
          <w:szCs w:val="24"/>
          <w:lang w:val="pl-PL"/>
        </w:rPr>
        <w:t xml:space="preserve"> </w:t>
      </w:r>
      <w:proofErr w:type="spellStart"/>
      <w:r w:rsidRPr="00BF4628">
        <w:rPr>
          <w:b/>
          <w:bCs/>
          <w:sz w:val="22"/>
          <w:szCs w:val="24"/>
          <w:lang w:val="pl-PL"/>
        </w:rPr>
        <w:t>Sitech</w:t>
      </w:r>
      <w:r w:rsidRPr="00BF4628">
        <w:rPr>
          <w:rFonts w:ascii="MS Mincho" w:eastAsia="MS Mincho" w:hAnsi="MS Mincho" w:cs="MS Mincho" w:hint="eastAsia"/>
          <w:b/>
          <w:bCs/>
          <w:sz w:val="22"/>
          <w:szCs w:val="24"/>
          <w:lang w:val="pl-PL"/>
        </w:rPr>
        <w:t>集</w:t>
      </w:r>
      <w:r w:rsidRPr="00BF4628">
        <w:rPr>
          <w:rFonts w:ascii="SimSun" w:eastAsia="SimSun" w:hAnsi="SimSun" w:cs="SimSun" w:hint="eastAsia"/>
          <w:b/>
          <w:bCs/>
          <w:sz w:val="22"/>
          <w:szCs w:val="24"/>
          <w:lang w:val="pl-PL"/>
        </w:rPr>
        <w:t>团公司举报程</w:t>
      </w:r>
      <w:r w:rsidRPr="00BF4628">
        <w:rPr>
          <w:rFonts w:ascii="MS Mincho" w:eastAsia="MS Mincho" w:hAnsi="MS Mincho" w:cs="MS Mincho" w:hint="eastAsia"/>
          <w:b/>
          <w:bCs/>
          <w:sz w:val="22"/>
          <w:szCs w:val="24"/>
          <w:lang w:val="pl-PL"/>
        </w:rPr>
        <w:t>序</w:t>
      </w:r>
      <w:proofErr w:type="spellEnd"/>
    </w:p>
    <w:p w14:paraId="758909E5" w14:textId="77777777" w:rsidR="00BF4628" w:rsidRDefault="00BF4628" w:rsidP="00BF4628">
      <w:pPr>
        <w:rPr>
          <w:sz w:val="22"/>
          <w:szCs w:val="24"/>
          <w:lang w:val="pl-PL"/>
        </w:rPr>
      </w:pPr>
    </w:p>
    <w:p w14:paraId="2DC5E479" w14:textId="390E431B" w:rsidR="00BF4628" w:rsidRDefault="00BF4628" w:rsidP="00BF4628">
      <w:pPr>
        <w:rPr>
          <w:rFonts w:ascii="MS Mincho" w:eastAsia="MS Mincho" w:hAnsi="MS Mincho" w:cs="MS Mincho"/>
          <w:sz w:val="22"/>
          <w:szCs w:val="24"/>
          <w:lang w:val="pl-PL"/>
        </w:rPr>
      </w:pPr>
      <w:proofErr w:type="spellStart"/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遵守法律法</w:t>
      </w:r>
      <w:r w:rsidRPr="00BF4628">
        <w:rPr>
          <w:rFonts w:ascii="SimSun" w:eastAsia="SimSun" w:hAnsi="SimSun" w:cs="SimSun" w:hint="eastAsia"/>
          <w:sz w:val="22"/>
          <w:szCs w:val="24"/>
          <w:lang w:val="pl-PL"/>
        </w:rPr>
        <w:t>规和公认标准</w:t>
      </w:r>
      <w:proofErr w:type="spellEnd"/>
      <w:r w:rsidRPr="00BF4628">
        <w:rPr>
          <w:rFonts w:ascii="SimSun" w:eastAsia="SimSun" w:hAnsi="SimSun" w:cs="SimSun" w:hint="eastAsia"/>
          <w:sz w:val="22"/>
          <w:szCs w:val="24"/>
          <w:lang w:val="pl-PL"/>
        </w:rPr>
        <w:t>（</w:t>
      </w:r>
      <w:r w:rsidRPr="00BF4628">
        <w:rPr>
          <w:sz w:val="22"/>
          <w:szCs w:val="24"/>
          <w:lang w:val="pl-PL"/>
        </w:rPr>
        <w:t>“</w:t>
      </w:r>
      <w:proofErr w:type="spellStart"/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合</w:t>
      </w:r>
      <w:r w:rsidRPr="00BF4628">
        <w:rPr>
          <w:rFonts w:ascii="SimSun" w:eastAsia="SimSun" w:hAnsi="SimSun" w:cs="SimSun" w:hint="eastAsia"/>
          <w:sz w:val="22"/>
          <w:szCs w:val="24"/>
          <w:lang w:val="pl-PL"/>
        </w:rPr>
        <w:t>规</w:t>
      </w:r>
      <w:proofErr w:type="spellEnd"/>
      <w:r w:rsidRPr="00BF4628">
        <w:rPr>
          <w:sz w:val="22"/>
          <w:szCs w:val="24"/>
          <w:lang w:val="pl-PL"/>
        </w:rPr>
        <w:t>”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）是本公司的基本原</w:t>
      </w:r>
      <w:r w:rsidRPr="00BF4628">
        <w:rPr>
          <w:rFonts w:ascii="SimSun" w:eastAsia="SimSun" w:hAnsi="SimSun" w:cs="SimSun" w:hint="eastAsia"/>
          <w:sz w:val="22"/>
          <w:szCs w:val="24"/>
          <w:lang w:val="pl-PL"/>
        </w:rPr>
        <w:t>则，也是本公司绝对优先考虑的事项。这些原则构成了我们赢得市场尊重、客户与业务伙伴信任、员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工福祉及企</w:t>
      </w:r>
      <w:r w:rsidRPr="00BF4628">
        <w:rPr>
          <w:rFonts w:ascii="SimSun" w:eastAsia="SimSun" w:hAnsi="SimSun" w:cs="SimSun" w:hint="eastAsia"/>
          <w:sz w:val="22"/>
          <w:szCs w:val="24"/>
          <w:lang w:val="pl-PL"/>
        </w:rPr>
        <w:t>业持续繁荣的基石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。</w:t>
      </w:r>
      <w:r w:rsidRPr="00BF4628">
        <w:rPr>
          <w:rFonts w:ascii="Microsoft JhengHei" w:eastAsia="Microsoft JhengHei" w:hAnsi="Microsoft JhengHei" w:cs="Microsoft JhengHei" w:hint="eastAsia"/>
          <w:sz w:val="22"/>
          <w:szCs w:val="24"/>
          <w:lang w:val="pl-PL"/>
        </w:rPr>
        <w:t>鉴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于此，本指南旨在</w:t>
      </w:r>
      <w:r w:rsidRPr="00BF4628">
        <w:rPr>
          <w:rFonts w:ascii="Microsoft JhengHei" w:eastAsia="Microsoft JhengHei" w:hAnsi="Microsoft JhengHei" w:cs="Microsoft JhengHei" w:hint="eastAsia"/>
          <w:sz w:val="22"/>
          <w:szCs w:val="24"/>
          <w:lang w:val="pl-PL"/>
        </w:rPr>
        <w:t>规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范</w:t>
      </w:r>
      <w:r w:rsidRPr="00BF4628">
        <w:rPr>
          <w:rFonts w:ascii="Microsoft JhengHei" w:eastAsia="Microsoft JhengHei" w:hAnsi="Microsoft JhengHei" w:cs="Microsoft JhengHei" w:hint="eastAsia"/>
          <w:sz w:val="22"/>
          <w:szCs w:val="24"/>
          <w:lang w:val="pl-PL"/>
        </w:rPr>
        <w:t>违规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行</w:t>
      </w:r>
      <w:r w:rsidRPr="00BF4628">
        <w:rPr>
          <w:rFonts w:ascii="Microsoft JhengHei" w:eastAsia="Microsoft JhengHei" w:hAnsi="Microsoft JhengHei" w:cs="Microsoft JhengHei" w:hint="eastAsia"/>
          <w:sz w:val="22"/>
          <w:szCs w:val="24"/>
          <w:lang w:val="pl-PL"/>
        </w:rPr>
        <w:t>为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的</w:t>
      </w:r>
      <w:r w:rsidRPr="00BF4628">
        <w:rPr>
          <w:rFonts w:ascii="Microsoft JhengHei" w:eastAsia="Microsoft JhengHei" w:hAnsi="Microsoft JhengHei" w:cs="Microsoft JhengHei" w:hint="eastAsia"/>
          <w:sz w:val="22"/>
          <w:szCs w:val="24"/>
          <w:lang w:val="pl-PL"/>
        </w:rPr>
        <w:t>举报</w:t>
      </w:r>
      <w:r w:rsidRPr="00BF4628">
        <w:rPr>
          <w:rFonts w:ascii="MS Mincho" w:eastAsia="MS Mincho" w:hAnsi="MS Mincho" w:cs="MS Mincho" w:hint="eastAsia"/>
          <w:sz w:val="22"/>
          <w:szCs w:val="24"/>
          <w:lang w:val="pl-PL"/>
        </w:rPr>
        <w:t>流程及其管理。</w:t>
      </w:r>
    </w:p>
    <w:p w14:paraId="40DCB5E7" w14:textId="77777777" w:rsidR="00BF4628" w:rsidRDefault="00BF4628" w:rsidP="00BF4628">
      <w:pPr>
        <w:rPr>
          <w:rFonts w:ascii="MS Mincho" w:eastAsia="MS Mincho" w:hAnsi="MS Mincho" w:cs="MS Mincho"/>
          <w:sz w:val="22"/>
          <w:szCs w:val="24"/>
          <w:lang w:val="pl-PL"/>
        </w:rPr>
      </w:pPr>
    </w:p>
    <w:p w14:paraId="70340533" w14:textId="77777777" w:rsidR="00BF4628" w:rsidRDefault="00BF4628" w:rsidP="00BF4628">
      <w:pPr>
        <w:rPr>
          <w:rFonts w:asciiTheme="minorHAnsi" w:eastAsia="MS Mincho" w:hAnsiTheme="minorHAnsi" w:cs="MS Mincho"/>
          <w:sz w:val="22"/>
          <w:szCs w:val="24"/>
          <w:lang w:val="pl-PL"/>
        </w:rPr>
      </w:pPr>
    </w:p>
    <w:p w14:paraId="19ABC72F" w14:textId="55099857" w:rsidR="00BF4628" w:rsidRDefault="00BF4628" w:rsidP="00BF4628">
      <w:pPr>
        <w:rPr>
          <w:rFonts w:asciiTheme="minorHAnsi" w:eastAsia="MS Mincho" w:hAnsiTheme="minorHAnsi" w:cs="MS Mincho"/>
          <w:sz w:val="22"/>
          <w:szCs w:val="24"/>
          <w:lang w:val="pl-PL"/>
        </w:rPr>
      </w:pPr>
      <w:r>
        <w:rPr>
          <w:rFonts w:asciiTheme="minorHAnsi" w:eastAsia="MS Mincho" w:hAnsiTheme="minorHAnsi" w:cs="MS Mincho"/>
          <w:sz w:val="22"/>
          <w:szCs w:val="24"/>
          <w:lang w:val="pl-PL"/>
        </w:rPr>
        <w:t>CZ</w:t>
      </w:r>
    </w:p>
    <w:p w14:paraId="0BB5C493" w14:textId="77777777" w:rsidR="00BF4628" w:rsidRDefault="00BF4628" w:rsidP="00BF4628">
      <w:pPr>
        <w:rPr>
          <w:rFonts w:asciiTheme="minorHAnsi" w:eastAsia="MS Mincho" w:hAnsiTheme="minorHAnsi" w:cs="MS Mincho"/>
          <w:sz w:val="22"/>
          <w:szCs w:val="24"/>
          <w:lang w:val="pl-PL"/>
        </w:rPr>
      </w:pPr>
    </w:p>
    <w:p w14:paraId="3DF57DDC" w14:textId="51EBBB75" w:rsidR="00BF4628" w:rsidRPr="00BF4628" w:rsidRDefault="00BF4628" w:rsidP="00BF4628">
      <w:pPr>
        <w:rPr>
          <w:rFonts w:asciiTheme="minorHAnsi" w:hAnsiTheme="minorHAnsi"/>
          <w:b/>
          <w:bCs/>
          <w:sz w:val="22"/>
          <w:szCs w:val="24"/>
          <w:lang w:val="pl-PL"/>
        </w:rPr>
      </w:pPr>
      <w:proofErr w:type="spellStart"/>
      <w:r w:rsidRPr="00BF4628">
        <w:rPr>
          <w:rFonts w:asciiTheme="minorHAnsi" w:hAnsiTheme="minorHAnsi"/>
          <w:b/>
          <w:bCs/>
          <w:sz w:val="22"/>
          <w:szCs w:val="24"/>
          <w:lang w:val="pl-PL"/>
        </w:rPr>
        <w:t>Postup</w:t>
      </w:r>
      <w:proofErr w:type="spellEnd"/>
      <w:r w:rsidRPr="00BF4628">
        <w:rPr>
          <w:rFonts w:asciiTheme="minorHAnsi" w:hAnsiTheme="minorHAnsi"/>
          <w:b/>
          <w:bCs/>
          <w:sz w:val="22"/>
          <w:szCs w:val="24"/>
          <w:lang w:val="pl-PL"/>
        </w:rPr>
        <w:t xml:space="preserve"> pro</w:t>
      </w:r>
      <w:r w:rsidRPr="00BF4628">
        <w:rPr>
          <w:rFonts w:asciiTheme="minorHAnsi" w:hAnsiTheme="minorHAnsi"/>
          <w:b/>
          <w:bCs/>
          <w:sz w:val="22"/>
          <w:szCs w:val="24"/>
          <w:lang w:val="pl-PL"/>
        </w:rPr>
        <w:t xml:space="preserve"> </w:t>
      </w:r>
      <w:proofErr w:type="spellStart"/>
      <w:r w:rsidRPr="00BF4628">
        <w:rPr>
          <w:rFonts w:asciiTheme="minorHAnsi" w:hAnsiTheme="minorHAnsi"/>
          <w:b/>
          <w:bCs/>
          <w:sz w:val="22"/>
          <w:szCs w:val="24"/>
          <w:lang w:val="pl-PL"/>
        </w:rPr>
        <w:t>oznamovatele</w:t>
      </w:r>
      <w:proofErr w:type="spellEnd"/>
    </w:p>
    <w:p w14:paraId="56DD39C3" w14:textId="77777777" w:rsidR="00BF4628" w:rsidRDefault="00BF4628" w:rsidP="00BF4628">
      <w:pPr>
        <w:rPr>
          <w:rFonts w:asciiTheme="minorHAnsi" w:hAnsiTheme="minorHAnsi"/>
          <w:sz w:val="22"/>
          <w:szCs w:val="24"/>
          <w:lang w:val="pl-PL"/>
        </w:rPr>
      </w:pPr>
    </w:p>
    <w:p w14:paraId="61FC901D" w14:textId="42EF9C58" w:rsidR="00BF4628" w:rsidRDefault="00BF4628" w:rsidP="00BF4628">
      <w:pPr>
        <w:rPr>
          <w:sz w:val="22"/>
          <w:szCs w:val="24"/>
          <w:lang w:val="pl-PL"/>
        </w:rPr>
      </w:pPr>
      <w:proofErr w:type="spellStart"/>
      <w:r w:rsidRPr="00BF4628">
        <w:rPr>
          <w:sz w:val="22"/>
          <w:szCs w:val="24"/>
          <w:lang w:val="pl-PL"/>
        </w:rPr>
        <w:t>Dodržování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právních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předpisů</w:t>
      </w:r>
      <w:proofErr w:type="spellEnd"/>
      <w:r w:rsidRPr="00BF4628">
        <w:rPr>
          <w:sz w:val="22"/>
          <w:szCs w:val="24"/>
          <w:lang w:val="pl-PL"/>
        </w:rPr>
        <w:t xml:space="preserve"> a </w:t>
      </w:r>
      <w:proofErr w:type="spellStart"/>
      <w:r w:rsidRPr="00BF4628">
        <w:rPr>
          <w:sz w:val="22"/>
          <w:szCs w:val="24"/>
          <w:lang w:val="pl-PL"/>
        </w:rPr>
        <w:t>přijatých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standardů</w:t>
      </w:r>
      <w:proofErr w:type="spellEnd"/>
      <w:r w:rsidRPr="00BF4628">
        <w:rPr>
          <w:sz w:val="22"/>
          <w:szCs w:val="24"/>
          <w:lang w:val="pl-PL"/>
        </w:rPr>
        <w:t xml:space="preserve"> (Compliance) je </w:t>
      </w:r>
      <w:proofErr w:type="spellStart"/>
      <w:r w:rsidRPr="00BF4628">
        <w:rPr>
          <w:sz w:val="22"/>
          <w:szCs w:val="24"/>
          <w:lang w:val="pl-PL"/>
        </w:rPr>
        <w:t>základním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principem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naší</w:t>
      </w:r>
      <w:proofErr w:type="spellEnd"/>
      <w:r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Společnosti</w:t>
      </w:r>
      <w:proofErr w:type="spellEnd"/>
      <w:r w:rsidRPr="00BF4628">
        <w:rPr>
          <w:sz w:val="22"/>
          <w:szCs w:val="24"/>
          <w:lang w:val="pl-PL"/>
        </w:rPr>
        <w:t xml:space="preserve"> a </w:t>
      </w:r>
      <w:proofErr w:type="spellStart"/>
      <w:r w:rsidRPr="00BF4628">
        <w:rPr>
          <w:sz w:val="22"/>
          <w:szCs w:val="24"/>
          <w:lang w:val="pl-PL"/>
        </w:rPr>
        <w:t>má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absolutní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prioritu</w:t>
      </w:r>
      <w:proofErr w:type="spellEnd"/>
      <w:r w:rsidRPr="00BF4628">
        <w:rPr>
          <w:sz w:val="22"/>
          <w:szCs w:val="24"/>
          <w:lang w:val="pl-PL"/>
        </w:rPr>
        <w:t xml:space="preserve">. </w:t>
      </w:r>
      <w:proofErr w:type="spellStart"/>
      <w:r w:rsidRPr="00BF4628">
        <w:rPr>
          <w:sz w:val="22"/>
          <w:szCs w:val="24"/>
          <w:lang w:val="pl-PL"/>
        </w:rPr>
        <w:t>Představuje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základ</w:t>
      </w:r>
      <w:proofErr w:type="spellEnd"/>
      <w:r w:rsidRPr="00BF4628">
        <w:rPr>
          <w:sz w:val="22"/>
          <w:szCs w:val="24"/>
          <w:lang w:val="pl-PL"/>
        </w:rPr>
        <w:t xml:space="preserve"> pro </w:t>
      </w:r>
      <w:proofErr w:type="spellStart"/>
      <w:r w:rsidRPr="00BF4628">
        <w:rPr>
          <w:sz w:val="22"/>
          <w:szCs w:val="24"/>
          <w:lang w:val="pl-PL"/>
        </w:rPr>
        <w:t>vysoké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postavení</w:t>
      </w:r>
      <w:proofErr w:type="spellEnd"/>
      <w:r w:rsidRPr="00BF4628">
        <w:rPr>
          <w:sz w:val="22"/>
          <w:szCs w:val="24"/>
          <w:lang w:val="pl-PL"/>
        </w:rPr>
        <w:t xml:space="preserve"> na </w:t>
      </w:r>
      <w:proofErr w:type="spellStart"/>
      <w:r w:rsidRPr="00BF4628">
        <w:rPr>
          <w:sz w:val="22"/>
          <w:szCs w:val="24"/>
          <w:lang w:val="pl-PL"/>
        </w:rPr>
        <w:t>trhu</w:t>
      </w:r>
      <w:proofErr w:type="spellEnd"/>
      <w:r w:rsidRPr="00BF4628">
        <w:rPr>
          <w:sz w:val="22"/>
          <w:szCs w:val="24"/>
          <w:lang w:val="pl-PL"/>
        </w:rPr>
        <w:t xml:space="preserve">, </w:t>
      </w:r>
      <w:proofErr w:type="spellStart"/>
      <w:r w:rsidRPr="00BF4628">
        <w:rPr>
          <w:sz w:val="22"/>
          <w:szCs w:val="24"/>
          <w:lang w:val="pl-PL"/>
        </w:rPr>
        <w:lastRenderedPageBreak/>
        <w:t>důvěru</w:t>
      </w:r>
      <w:proofErr w:type="spellEnd"/>
      <w:r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zákazníků</w:t>
      </w:r>
      <w:proofErr w:type="spellEnd"/>
      <w:r w:rsidRPr="00BF4628">
        <w:rPr>
          <w:sz w:val="22"/>
          <w:szCs w:val="24"/>
          <w:lang w:val="pl-PL"/>
        </w:rPr>
        <w:t xml:space="preserve"> a </w:t>
      </w:r>
      <w:proofErr w:type="spellStart"/>
      <w:r w:rsidRPr="00BF4628">
        <w:rPr>
          <w:sz w:val="22"/>
          <w:szCs w:val="24"/>
          <w:lang w:val="pl-PL"/>
        </w:rPr>
        <w:t>obchodních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partnerů</w:t>
      </w:r>
      <w:proofErr w:type="spellEnd"/>
      <w:r w:rsidRPr="00BF4628">
        <w:rPr>
          <w:sz w:val="22"/>
          <w:szCs w:val="24"/>
          <w:lang w:val="pl-PL"/>
        </w:rPr>
        <w:t xml:space="preserve">, </w:t>
      </w:r>
      <w:proofErr w:type="spellStart"/>
      <w:r w:rsidRPr="00BF4628">
        <w:rPr>
          <w:sz w:val="22"/>
          <w:szCs w:val="24"/>
          <w:lang w:val="pl-PL"/>
        </w:rPr>
        <w:t>blaho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zaměstnanců</w:t>
      </w:r>
      <w:proofErr w:type="spellEnd"/>
      <w:r w:rsidRPr="00BF4628">
        <w:rPr>
          <w:sz w:val="22"/>
          <w:szCs w:val="24"/>
          <w:lang w:val="pl-PL"/>
        </w:rPr>
        <w:t xml:space="preserve"> a </w:t>
      </w:r>
      <w:proofErr w:type="spellStart"/>
      <w:r w:rsidRPr="00BF4628">
        <w:rPr>
          <w:sz w:val="22"/>
          <w:szCs w:val="24"/>
          <w:lang w:val="pl-PL"/>
        </w:rPr>
        <w:t>udržitelný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obchodní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úspěch</w:t>
      </w:r>
      <w:proofErr w:type="spellEnd"/>
      <w:r w:rsidRPr="00BF4628">
        <w:rPr>
          <w:sz w:val="22"/>
          <w:szCs w:val="24"/>
          <w:lang w:val="pl-PL"/>
        </w:rPr>
        <w:t>.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 xml:space="preserve">S </w:t>
      </w:r>
      <w:proofErr w:type="spellStart"/>
      <w:r w:rsidRPr="00BF4628">
        <w:rPr>
          <w:sz w:val="22"/>
          <w:szCs w:val="24"/>
          <w:lang w:val="pl-PL"/>
        </w:rPr>
        <w:t>ohledem</w:t>
      </w:r>
      <w:proofErr w:type="spellEnd"/>
      <w:r w:rsidRPr="00BF4628">
        <w:rPr>
          <w:sz w:val="22"/>
          <w:szCs w:val="24"/>
          <w:lang w:val="pl-PL"/>
        </w:rPr>
        <w:t xml:space="preserve"> na tuto </w:t>
      </w:r>
      <w:proofErr w:type="spellStart"/>
      <w:r w:rsidRPr="00BF4628">
        <w:rPr>
          <w:sz w:val="22"/>
          <w:szCs w:val="24"/>
          <w:lang w:val="pl-PL"/>
        </w:rPr>
        <w:t>skutečnost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se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zavádí</w:t>
      </w:r>
      <w:proofErr w:type="spellEnd"/>
      <w:r w:rsidRPr="00BF4628">
        <w:rPr>
          <w:sz w:val="22"/>
          <w:szCs w:val="24"/>
          <w:lang w:val="pl-PL"/>
        </w:rPr>
        <w:t xml:space="preserve"> tato </w:t>
      </w:r>
      <w:proofErr w:type="spellStart"/>
      <w:r>
        <w:rPr>
          <w:sz w:val="22"/>
          <w:szCs w:val="24"/>
          <w:lang w:val="pl-PL"/>
        </w:rPr>
        <w:t>s</w:t>
      </w:r>
      <w:r w:rsidRPr="00BF4628">
        <w:rPr>
          <w:sz w:val="22"/>
          <w:szCs w:val="24"/>
          <w:lang w:val="pl-PL"/>
        </w:rPr>
        <w:t>měrnice</w:t>
      </w:r>
      <w:proofErr w:type="spellEnd"/>
      <w:r w:rsidRPr="00BF4628">
        <w:rPr>
          <w:sz w:val="22"/>
          <w:szCs w:val="24"/>
          <w:lang w:val="pl-PL"/>
        </w:rPr>
        <w:t xml:space="preserve">, </w:t>
      </w:r>
      <w:proofErr w:type="spellStart"/>
      <w:r w:rsidRPr="00BF4628">
        <w:rPr>
          <w:sz w:val="22"/>
          <w:szCs w:val="24"/>
          <w:lang w:val="pl-PL"/>
        </w:rPr>
        <w:t>která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upravuje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oznamování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>
        <w:rPr>
          <w:sz w:val="22"/>
          <w:szCs w:val="24"/>
          <w:lang w:val="pl-PL"/>
        </w:rPr>
        <w:t>p</w:t>
      </w:r>
      <w:r w:rsidRPr="00BF4628">
        <w:rPr>
          <w:sz w:val="22"/>
          <w:szCs w:val="24"/>
          <w:lang w:val="pl-PL"/>
        </w:rPr>
        <w:t>orušení</w:t>
      </w:r>
      <w:proofErr w:type="spellEnd"/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>a</w:t>
      </w:r>
      <w:r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nakládání</w:t>
      </w:r>
      <w:proofErr w:type="spellEnd"/>
      <w:r w:rsidRPr="00BF4628">
        <w:rPr>
          <w:sz w:val="22"/>
          <w:szCs w:val="24"/>
          <w:lang w:val="pl-PL"/>
        </w:rPr>
        <w:t xml:space="preserve"> s </w:t>
      </w:r>
      <w:proofErr w:type="spellStart"/>
      <w:r w:rsidRPr="00BF4628">
        <w:rPr>
          <w:sz w:val="22"/>
          <w:szCs w:val="24"/>
          <w:lang w:val="pl-PL"/>
        </w:rPr>
        <w:t>těmito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>
        <w:rPr>
          <w:sz w:val="22"/>
          <w:szCs w:val="24"/>
          <w:lang w:val="pl-PL"/>
        </w:rPr>
        <w:t>o</w:t>
      </w:r>
      <w:r w:rsidRPr="00BF4628">
        <w:rPr>
          <w:sz w:val="22"/>
          <w:szCs w:val="24"/>
          <w:lang w:val="pl-PL"/>
        </w:rPr>
        <w:t>známeními</w:t>
      </w:r>
      <w:proofErr w:type="spellEnd"/>
      <w:r w:rsidRPr="00BF4628">
        <w:rPr>
          <w:sz w:val="22"/>
          <w:szCs w:val="24"/>
          <w:lang w:val="pl-PL"/>
        </w:rPr>
        <w:t>.</w:t>
      </w:r>
    </w:p>
    <w:p w14:paraId="0ECAFB63" w14:textId="77777777" w:rsidR="00BF4628" w:rsidRDefault="00BF4628" w:rsidP="00BF4628">
      <w:pPr>
        <w:rPr>
          <w:sz w:val="22"/>
          <w:szCs w:val="24"/>
          <w:lang w:val="pl-PL"/>
        </w:rPr>
      </w:pPr>
    </w:p>
    <w:p w14:paraId="4873151A" w14:textId="77777777" w:rsidR="00BF4628" w:rsidRDefault="00BF4628" w:rsidP="00BF4628">
      <w:pPr>
        <w:rPr>
          <w:sz w:val="22"/>
          <w:szCs w:val="24"/>
          <w:lang w:val="pl-PL"/>
        </w:rPr>
      </w:pPr>
    </w:p>
    <w:p w14:paraId="7046E37B" w14:textId="4B406CFF" w:rsidR="00BF4628" w:rsidRDefault="00BF4628" w:rsidP="00BF4628">
      <w:pPr>
        <w:rPr>
          <w:sz w:val="22"/>
          <w:szCs w:val="24"/>
          <w:lang w:val="pl-PL"/>
        </w:rPr>
      </w:pPr>
      <w:r>
        <w:rPr>
          <w:sz w:val="22"/>
          <w:szCs w:val="24"/>
          <w:lang w:val="pl-PL"/>
        </w:rPr>
        <w:t>PT</w:t>
      </w:r>
    </w:p>
    <w:p w14:paraId="4D1A1670" w14:textId="77777777" w:rsidR="00BF4628" w:rsidRDefault="00BF4628" w:rsidP="00BF4628">
      <w:pPr>
        <w:rPr>
          <w:sz w:val="22"/>
          <w:szCs w:val="24"/>
          <w:lang w:val="pl-PL"/>
        </w:rPr>
      </w:pPr>
    </w:p>
    <w:p w14:paraId="0F6286ED" w14:textId="54019156" w:rsidR="00BF4628" w:rsidRPr="00BF4628" w:rsidRDefault="00BF4628" w:rsidP="00BF4628">
      <w:pPr>
        <w:rPr>
          <w:b/>
          <w:bCs/>
          <w:sz w:val="22"/>
          <w:szCs w:val="24"/>
          <w:lang w:val="pl-PL"/>
        </w:rPr>
      </w:pPr>
      <w:proofErr w:type="spellStart"/>
      <w:r w:rsidRPr="00BF4628">
        <w:rPr>
          <w:b/>
          <w:bCs/>
          <w:sz w:val="22"/>
          <w:szCs w:val="24"/>
          <w:lang w:val="pl-PL"/>
        </w:rPr>
        <w:t>Denúncia</w:t>
      </w:r>
      <w:proofErr w:type="spellEnd"/>
      <w:r w:rsidRPr="00BF4628">
        <w:rPr>
          <w:b/>
          <w:bCs/>
          <w:sz w:val="22"/>
          <w:szCs w:val="24"/>
          <w:lang w:val="pl-PL"/>
        </w:rPr>
        <w:t xml:space="preserve"> de </w:t>
      </w:r>
      <w:proofErr w:type="spellStart"/>
      <w:r w:rsidRPr="00BF4628">
        <w:rPr>
          <w:b/>
          <w:bCs/>
          <w:sz w:val="22"/>
          <w:szCs w:val="24"/>
          <w:lang w:val="pl-PL"/>
        </w:rPr>
        <w:t>Irregularidades</w:t>
      </w:r>
      <w:proofErr w:type="spellEnd"/>
    </w:p>
    <w:p w14:paraId="10F6425B" w14:textId="77777777" w:rsidR="00BF4628" w:rsidRDefault="00BF4628" w:rsidP="00BF4628">
      <w:pPr>
        <w:rPr>
          <w:sz w:val="22"/>
          <w:szCs w:val="24"/>
          <w:lang w:val="pl-PL"/>
        </w:rPr>
      </w:pPr>
    </w:p>
    <w:p w14:paraId="3D75C7D1" w14:textId="51CB40F0" w:rsidR="00BF4628" w:rsidRPr="00BF4628" w:rsidRDefault="00BF4628" w:rsidP="00BF4628">
      <w:pPr>
        <w:rPr>
          <w:sz w:val="22"/>
          <w:szCs w:val="24"/>
          <w:lang w:val="en-US"/>
        </w:rPr>
      </w:pPr>
      <w:r w:rsidRPr="00BF4628">
        <w:rPr>
          <w:sz w:val="22"/>
          <w:szCs w:val="24"/>
          <w:lang w:val="pl-PL"/>
        </w:rPr>
        <w:t xml:space="preserve">O </w:t>
      </w:r>
      <w:proofErr w:type="spellStart"/>
      <w:r w:rsidRPr="00BF4628">
        <w:rPr>
          <w:sz w:val="22"/>
          <w:szCs w:val="24"/>
          <w:lang w:val="pl-PL"/>
        </w:rPr>
        <w:t>cumprimento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das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disposições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legais</w:t>
      </w:r>
      <w:proofErr w:type="spellEnd"/>
      <w:r w:rsidRPr="00BF4628">
        <w:rPr>
          <w:sz w:val="22"/>
          <w:szCs w:val="24"/>
          <w:lang w:val="pl-PL"/>
        </w:rPr>
        <w:t xml:space="preserve"> e </w:t>
      </w:r>
      <w:proofErr w:type="spellStart"/>
      <w:r w:rsidRPr="00BF4628">
        <w:rPr>
          <w:sz w:val="22"/>
          <w:szCs w:val="24"/>
          <w:lang w:val="pl-PL"/>
        </w:rPr>
        <w:t>das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normas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aceites</w:t>
      </w:r>
      <w:proofErr w:type="spellEnd"/>
      <w:r w:rsidRPr="00BF4628">
        <w:rPr>
          <w:sz w:val="22"/>
          <w:szCs w:val="24"/>
          <w:lang w:val="pl-PL"/>
        </w:rPr>
        <w:t xml:space="preserve"> (“Compliance”) </w:t>
      </w:r>
      <w:proofErr w:type="spellStart"/>
      <w:r w:rsidRPr="00BF4628">
        <w:rPr>
          <w:sz w:val="22"/>
          <w:szCs w:val="24"/>
          <w:lang w:val="pl-PL"/>
        </w:rPr>
        <w:t>são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princípios</w:t>
      </w:r>
      <w:proofErr w:type="spellEnd"/>
      <w:r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fundamentais</w:t>
      </w:r>
      <w:proofErr w:type="spellEnd"/>
      <w:r w:rsidRPr="00BF4628">
        <w:rPr>
          <w:sz w:val="22"/>
          <w:szCs w:val="24"/>
          <w:lang w:val="pl-PL"/>
        </w:rPr>
        <w:t xml:space="preserve"> da </w:t>
      </w:r>
      <w:proofErr w:type="spellStart"/>
      <w:r w:rsidRPr="00BF4628">
        <w:rPr>
          <w:sz w:val="22"/>
          <w:szCs w:val="24"/>
          <w:lang w:val="pl-PL"/>
        </w:rPr>
        <w:t>nossa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Empresa</w:t>
      </w:r>
      <w:proofErr w:type="spellEnd"/>
      <w:r w:rsidRPr="00BF4628">
        <w:rPr>
          <w:sz w:val="22"/>
          <w:szCs w:val="24"/>
          <w:lang w:val="pl-PL"/>
        </w:rPr>
        <w:t xml:space="preserve"> e </w:t>
      </w:r>
      <w:proofErr w:type="spellStart"/>
      <w:r w:rsidRPr="00BF4628">
        <w:rPr>
          <w:sz w:val="22"/>
          <w:szCs w:val="24"/>
          <w:lang w:val="pl-PL"/>
        </w:rPr>
        <w:t>têm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prioridade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absoluta</w:t>
      </w:r>
      <w:proofErr w:type="spellEnd"/>
      <w:r w:rsidRPr="00BF4628">
        <w:rPr>
          <w:sz w:val="22"/>
          <w:szCs w:val="24"/>
          <w:lang w:val="pl-PL"/>
        </w:rPr>
        <w:t xml:space="preserve">. </w:t>
      </w:r>
      <w:proofErr w:type="spellStart"/>
      <w:r w:rsidRPr="00BF4628">
        <w:rPr>
          <w:sz w:val="22"/>
          <w:szCs w:val="24"/>
          <w:lang w:val="pl-PL"/>
        </w:rPr>
        <w:t>Constituem</w:t>
      </w:r>
      <w:proofErr w:type="spellEnd"/>
      <w:r w:rsidRPr="00BF4628">
        <w:rPr>
          <w:sz w:val="22"/>
          <w:szCs w:val="24"/>
          <w:lang w:val="pl-PL"/>
        </w:rPr>
        <w:t xml:space="preserve"> a </w:t>
      </w:r>
      <w:proofErr w:type="spellStart"/>
      <w:r w:rsidRPr="00BF4628">
        <w:rPr>
          <w:sz w:val="22"/>
          <w:szCs w:val="24"/>
          <w:lang w:val="pl-PL"/>
        </w:rPr>
        <w:t>base</w:t>
      </w:r>
      <w:proofErr w:type="spellEnd"/>
      <w:r w:rsidRPr="00BF4628">
        <w:rPr>
          <w:sz w:val="22"/>
          <w:szCs w:val="24"/>
          <w:lang w:val="pl-PL"/>
        </w:rPr>
        <w:t xml:space="preserve"> para </w:t>
      </w:r>
      <w:proofErr w:type="spellStart"/>
      <w:r w:rsidRPr="00BF4628">
        <w:rPr>
          <w:sz w:val="22"/>
          <w:szCs w:val="24"/>
          <w:lang w:val="pl-PL"/>
        </w:rPr>
        <w:t>uma</w:t>
      </w:r>
      <w:proofErr w:type="spellEnd"/>
      <w:r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posição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elevada</w:t>
      </w:r>
      <w:proofErr w:type="spellEnd"/>
      <w:r w:rsidRPr="00BF4628">
        <w:rPr>
          <w:sz w:val="22"/>
          <w:szCs w:val="24"/>
          <w:lang w:val="pl-PL"/>
        </w:rPr>
        <w:t xml:space="preserve"> no </w:t>
      </w:r>
      <w:proofErr w:type="spellStart"/>
      <w:r w:rsidRPr="00BF4628">
        <w:rPr>
          <w:sz w:val="22"/>
          <w:szCs w:val="24"/>
          <w:lang w:val="pl-PL"/>
        </w:rPr>
        <w:t>mercado</w:t>
      </w:r>
      <w:proofErr w:type="spellEnd"/>
      <w:r w:rsidRPr="00BF4628">
        <w:rPr>
          <w:sz w:val="22"/>
          <w:szCs w:val="24"/>
          <w:lang w:val="pl-PL"/>
        </w:rPr>
        <w:t xml:space="preserve">, para a </w:t>
      </w:r>
      <w:proofErr w:type="spellStart"/>
      <w:r w:rsidRPr="00BF4628">
        <w:rPr>
          <w:sz w:val="22"/>
          <w:szCs w:val="24"/>
          <w:lang w:val="pl-PL"/>
        </w:rPr>
        <w:t>confiança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dos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clientes</w:t>
      </w:r>
      <w:proofErr w:type="spellEnd"/>
      <w:r w:rsidRPr="00BF4628">
        <w:rPr>
          <w:sz w:val="22"/>
          <w:szCs w:val="24"/>
          <w:lang w:val="pl-PL"/>
        </w:rPr>
        <w:t xml:space="preserve"> e </w:t>
      </w:r>
      <w:proofErr w:type="spellStart"/>
      <w:r w:rsidRPr="00BF4628">
        <w:rPr>
          <w:sz w:val="22"/>
          <w:szCs w:val="24"/>
          <w:lang w:val="pl-PL"/>
        </w:rPr>
        <w:t>dos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parceiros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comerciais</w:t>
      </w:r>
      <w:proofErr w:type="spellEnd"/>
      <w:r w:rsidRPr="00BF4628">
        <w:rPr>
          <w:sz w:val="22"/>
          <w:szCs w:val="24"/>
          <w:lang w:val="pl-PL"/>
        </w:rPr>
        <w:t>, para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pl-PL"/>
        </w:rPr>
        <w:t>o bem-es</w:t>
      </w:r>
      <w:proofErr w:type="spellStart"/>
      <w:r w:rsidRPr="00BF4628">
        <w:rPr>
          <w:sz w:val="22"/>
          <w:szCs w:val="24"/>
          <w:lang w:val="pl-PL"/>
        </w:rPr>
        <w:t>tar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dos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colaboradores</w:t>
      </w:r>
      <w:proofErr w:type="spellEnd"/>
      <w:r w:rsidRPr="00BF4628">
        <w:rPr>
          <w:sz w:val="22"/>
          <w:szCs w:val="24"/>
          <w:lang w:val="pl-PL"/>
        </w:rPr>
        <w:t xml:space="preserve"> e para o </w:t>
      </w:r>
      <w:proofErr w:type="spellStart"/>
      <w:r w:rsidRPr="00BF4628">
        <w:rPr>
          <w:sz w:val="22"/>
          <w:szCs w:val="24"/>
          <w:lang w:val="pl-PL"/>
        </w:rPr>
        <w:t>sucesso</w:t>
      </w:r>
      <w:proofErr w:type="spellEnd"/>
      <w:r w:rsidRPr="00BF4628">
        <w:rPr>
          <w:sz w:val="22"/>
          <w:szCs w:val="24"/>
          <w:lang w:val="pl-PL"/>
        </w:rPr>
        <w:t xml:space="preserve"> </w:t>
      </w:r>
      <w:proofErr w:type="spellStart"/>
      <w:r w:rsidRPr="00BF4628">
        <w:rPr>
          <w:sz w:val="22"/>
          <w:szCs w:val="24"/>
          <w:lang w:val="pl-PL"/>
        </w:rPr>
        <w:t>sustentável</w:t>
      </w:r>
      <w:proofErr w:type="spellEnd"/>
      <w:r w:rsidRPr="00BF4628">
        <w:rPr>
          <w:sz w:val="22"/>
          <w:szCs w:val="24"/>
          <w:lang w:val="pl-PL"/>
        </w:rPr>
        <w:t xml:space="preserve"> da </w:t>
      </w:r>
      <w:proofErr w:type="spellStart"/>
      <w:r w:rsidRPr="00BF4628">
        <w:rPr>
          <w:sz w:val="22"/>
          <w:szCs w:val="24"/>
          <w:lang w:val="pl-PL"/>
        </w:rPr>
        <w:t>Empresa</w:t>
      </w:r>
      <w:proofErr w:type="spellEnd"/>
      <w:r w:rsidRPr="00BF4628">
        <w:rPr>
          <w:sz w:val="22"/>
          <w:szCs w:val="24"/>
          <w:lang w:val="pl-PL"/>
        </w:rPr>
        <w:t>.</w:t>
      </w:r>
      <w:r>
        <w:rPr>
          <w:sz w:val="22"/>
          <w:szCs w:val="24"/>
          <w:lang w:val="pl-PL"/>
        </w:rPr>
        <w:t xml:space="preserve"> </w:t>
      </w:r>
      <w:r w:rsidRPr="00BF4628">
        <w:rPr>
          <w:sz w:val="22"/>
          <w:szCs w:val="24"/>
          <w:lang w:val="en-US"/>
        </w:rPr>
        <w:t xml:space="preserve">Nesta </w:t>
      </w:r>
      <w:proofErr w:type="spellStart"/>
      <w:r w:rsidRPr="00BF4628">
        <w:rPr>
          <w:sz w:val="22"/>
          <w:szCs w:val="24"/>
          <w:lang w:val="en-US"/>
        </w:rPr>
        <w:t>perspetiva</w:t>
      </w:r>
      <w:proofErr w:type="spellEnd"/>
      <w:r w:rsidRPr="00BF4628">
        <w:rPr>
          <w:sz w:val="22"/>
          <w:szCs w:val="24"/>
          <w:lang w:val="en-US"/>
        </w:rPr>
        <w:t xml:space="preserve">, a </w:t>
      </w:r>
      <w:proofErr w:type="spellStart"/>
      <w:r w:rsidRPr="00BF4628">
        <w:rPr>
          <w:sz w:val="22"/>
          <w:szCs w:val="24"/>
          <w:lang w:val="en-US"/>
        </w:rPr>
        <w:t>presente</w:t>
      </w:r>
      <w:proofErr w:type="spellEnd"/>
      <w:r w:rsidRPr="00BF4628">
        <w:rPr>
          <w:sz w:val="22"/>
          <w:szCs w:val="24"/>
          <w:lang w:val="en-US"/>
        </w:rPr>
        <w:t xml:space="preserve"> </w:t>
      </w:r>
      <w:proofErr w:type="spellStart"/>
      <w:r>
        <w:rPr>
          <w:sz w:val="22"/>
          <w:szCs w:val="24"/>
          <w:lang w:val="en-US"/>
        </w:rPr>
        <w:t>d</w:t>
      </w:r>
      <w:r w:rsidRPr="00BF4628">
        <w:rPr>
          <w:sz w:val="22"/>
          <w:szCs w:val="24"/>
          <w:lang w:val="en-US"/>
        </w:rPr>
        <w:t>iretriz</w:t>
      </w:r>
      <w:proofErr w:type="spellEnd"/>
      <w:r w:rsidRPr="00BF4628">
        <w:rPr>
          <w:sz w:val="22"/>
          <w:szCs w:val="24"/>
          <w:lang w:val="en-US"/>
        </w:rPr>
        <w:t xml:space="preserve"> </w:t>
      </w:r>
      <w:proofErr w:type="spellStart"/>
      <w:r w:rsidRPr="00BF4628">
        <w:rPr>
          <w:sz w:val="22"/>
          <w:szCs w:val="24"/>
          <w:lang w:val="en-US"/>
        </w:rPr>
        <w:t>está</w:t>
      </w:r>
      <w:proofErr w:type="spellEnd"/>
      <w:r w:rsidRPr="00BF4628">
        <w:rPr>
          <w:sz w:val="22"/>
          <w:szCs w:val="24"/>
          <w:lang w:val="en-US"/>
        </w:rPr>
        <w:t xml:space="preserve"> a ser </w:t>
      </w:r>
      <w:proofErr w:type="spellStart"/>
      <w:r w:rsidRPr="00BF4628">
        <w:rPr>
          <w:sz w:val="22"/>
          <w:szCs w:val="24"/>
          <w:lang w:val="en-US"/>
        </w:rPr>
        <w:t>implementada</w:t>
      </w:r>
      <w:proofErr w:type="spellEnd"/>
      <w:r w:rsidRPr="00BF4628">
        <w:rPr>
          <w:sz w:val="22"/>
          <w:szCs w:val="24"/>
          <w:lang w:val="en-US"/>
        </w:rPr>
        <w:t xml:space="preserve"> para regular a </w:t>
      </w:r>
      <w:proofErr w:type="spellStart"/>
      <w:r w:rsidRPr="00BF4628">
        <w:rPr>
          <w:sz w:val="22"/>
          <w:szCs w:val="24"/>
          <w:lang w:val="en-US"/>
        </w:rPr>
        <w:t>comunicação</w:t>
      </w:r>
      <w:proofErr w:type="spellEnd"/>
      <w:r w:rsidRPr="00BF4628">
        <w:rPr>
          <w:sz w:val="22"/>
          <w:szCs w:val="24"/>
          <w:lang w:val="en-US"/>
        </w:rPr>
        <w:t xml:space="preserve"> de </w:t>
      </w:r>
      <w:proofErr w:type="spellStart"/>
      <w:r>
        <w:rPr>
          <w:sz w:val="22"/>
          <w:szCs w:val="24"/>
          <w:lang w:val="en-US"/>
        </w:rPr>
        <w:t>i</w:t>
      </w:r>
      <w:r w:rsidRPr="00BF4628">
        <w:rPr>
          <w:sz w:val="22"/>
          <w:szCs w:val="24"/>
          <w:lang w:val="en-US"/>
        </w:rPr>
        <w:t>rregularidades</w:t>
      </w:r>
      <w:proofErr w:type="spellEnd"/>
      <w:r w:rsidRPr="00BF4628">
        <w:rPr>
          <w:sz w:val="22"/>
          <w:szCs w:val="24"/>
          <w:lang w:val="en-US"/>
        </w:rPr>
        <w:t xml:space="preserve"> e a </w:t>
      </w:r>
      <w:proofErr w:type="spellStart"/>
      <w:r w:rsidRPr="00BF4628">
        <w:rPr>
          <w:sz w:val="22"/>
          <w:szCs w:val="24"/>
          <w:lang w:val="en-US"/>
        </w:rPr>
        <w:t>gestão</w:t>
      </w:r>
      <w:proofErr w:type="spellEnd"/>
      <w:r w:rsidRPr="00BF4628">
        <w:rPr>
          <w:sz w:val="22"/>
          <w:szCs w:val="24"/>
          <w:lang w:val="en-US"/>
        </w:rPr>
        <w:t xml:space="preserve"> dessas </w:t>
      </w:r>
      <w:proofErr w:type="spellStart"/>
      <w:r>
        <w:rPr>
          <w:sz w:val="22"/>
          <w:szCs w:val="24"/>
          <w:lang w:val="en-US"/>
        </w:rPr>
        <w:t>d</w:t>
      </w:r>
      <w:r w:rsidRPr="00BF4628">
        <w:rPr>
          <w:sz w:val="22"/>
          <w:szCs w:val="24"/>
          <w:lang w:val="en-US"/>
        </w:rPr>
        <w:t>enúncias</w:t>
      </w:r>
      <w:proofErr w:type="spellEnd"/>
      <w:r w:rsidRPr="00BF4628">
        <w:rPr>
          <w:sz w:val="22"/>
          <w:szCs w:val="24"/>
          <w:lang w:val="en-US"/>
        </w:rPr>
        <w:t>.</w:t>
      </w:r>
    </w:p>
    <w:sectPr w:rsidR="00BF4628" w:rsidRPr="00BF46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AE7B" w14:textId="77777777" w:rsidR="00BF4628" w:rsidRDefault="00BF4628" w:rsidP="00FE6F41">
      <w:r>
        <w:separator/>
      </w:r>
    </w:p>
  </w:endnote>
  <w:endnote w:type="continuationSeparator" w:id="0">
    <w:p w14:paraId="28616C0A" w14:textId="77777777" w:rsidR="00BF4628" w:rsidRDefault="00BF4628" w:rsidP="00FE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39C4" w14:textId="77777777" w:rsidR="00BF4628" w:rsidRDefault="00BF4628" w:rsidP="00FE6F41">
      <w:r>
        <w:separator/>
      </w:r>
    </w:p>
  </w:footnote>
  <w:footnote w:type="continuationSeparator" w:id="0">
    <w:p w14:paraId="527A0AB1" w14:textId="77777777" w:rsidR="00BF4628" w:rsidRDefault="00BF4628" w:rsidP="00FE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28"/>
    <w:rsid w:val="000222E3"/>
    <w:rsid w:val="00022934"/>
    <w:rsid w:val="000904D9"/>
    <w:rsid w:val="000A23BB"/>
    <w:rsid w:val="000D474B"/>
    <w:rsid w:val="000F5787"/>
    <w:rsid w:val="00135EA3"/>
    <w:rsid w:val="00167A23"/>
    <w:rsid w:val="00175697"/>
    <w:rsid w:val="001977B8"/>
    <w:rsid w:val="00240988"/>
    <w:rsid w:val="002A4078"/>
    <w:rsid w:val="002C1082"/>
    <w:rsid w:val="002E4A11"/>
    <w:rsid w:val="002F25F7"/>
    <w:rsid w:val="002F568A"/>
    <w:rsid w:val="003B7E9E"/>
    <w:rsid w:val="003C3FDD"/>
    <w:rsid w:val="003F04EA"/>
    <w:rsid w:val="004030DA"/>
    <w:rsid w:val="00435716"/>
    <w:rsid w:val="00456359"/>
    <w:rsid w:val="00471901"/>
    <w:rsid w:val="004A28AE"/>
    <w:rsid w:val="004C6B48"/>
    <w:rsid w:val="004F5F02"/>
    <w:rsid w:val="00541421"/>
    <w:rsid w:val="00551788"/>
    <w:rsid w:val="005737F4"/>
    <w:rsid w:val="00584A4D"/>
    <w:rsid w:val="0062065D"/>
    <w:rsid w:val="00654BB9"/>
    <w:rsid w:val="006670EB"/>
    <w:rsid w:val="00691155"/>
    <w:rsid w:val="006C7BD5"/>
    <w:rsid w:val="006E0D02"/>
    <w:rsid w:val="007253FF"/>
    <w:rsid w:val="00777A0B"/>
    <w:rsid w:val="0079482A"/>
    <w:rsid w:val="007B5C75"/>
    <w:rsid w:val="00856603"/>
    <w:rsid w:val="008A7839"/>
    <w:rsid w:val="008B72AB"/>
    <w:rsid w:val="008D22DB"/>
    <w:rsid w:val="008F3715"/>
    <w:rsid w:val="00907A49"/>
    <w:rsid w:val="009A2CFF"/>
    <w:rsid w:val="009C4413"/>
    <w:rsid w:val="009E739F"/>
    <w:rsid w:val="009F6919"/>
    <w:rsid w:val="00A059D5"/>
    <w:rsid w:val="00A10EC1"/>
    <w:rsid w:val="00A15D30"/>
    <w:rsid w:val="00A22096"/>
    <w:rsid w:val="00A32F0C"/>
    <w:rsid w:val="00A376F9"/>
    <w:rsid w:val="00A64D8C"/>
    <w:rsid w:val="00A81FD9"/>
    <w:rsid w:val="00AC4ED7"/>
    <w:rsid w:val="00AC7696"/>
    <w:rsid w:val="00AE7E6E"/>
    <w:rsid w:val="00B23EF0"/>
    <w:rsid w:val="00B40E70"/>
    <w:rsid w:val="00B763A1"/>
    <w:rsid w:val="00B82760"/>
    <w:rsid w:val="00BC3399"/>
    <w:rsid w:val="00BD350B"/>
    <w:rsid w:val="00BD671F"/>
    <w:rsid w:val="00BE5ED4"/>
    <w:rsid w:val="00BF4628"/>
    <w:rsid w:val="00BF6E57"/>
    <w:rsid w:val="00C5061D"/>
    <w:rsid w:val="00C9526D"/>
    <w:rsid w:val="00CB7F0B"/>
    <w:rsid w:val="00CC07F5"/>
    <w:rsid w:val="00CE353A"/>
    <w:rsid w:val="00CF7F2C"/>
    <w:rsid w:val="00D36A06"/>
    <w:rsid w:val="00D44002"/>
    <w:rsid w:val="00D91C3F"/>
    <w:rsid w:val="00DA3F54"/>
    <w:rsid w:val="00E27B5D"/>
    <w:rsid w:val="00E4543C"/>
    <w:rsid w:val="00E80022"/>
    <w:rsid w:val="00E84B98"/>
    <w:rsid w:val="00E90F34"/>
    <w:rsid w:val="00EB5963"/>
    <w:rsid w:val="00F004C0"/>
    <w:rsid w:val="00F105F3"/>
    <w:rsid w:val="00F10EB4"/>
    <w:rsid w:val="00F552FE"/>
    <w:rsid w:val="00F70C1F"/>
    <w:rsid w:val="00FA133A"/>
    <w:rsid w:val="00FB1D71"/>
    <w:rsid w:val="00FE6F4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7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1D"/>
    <w:rPr>
      <w:rFonts w:ascii="Roboto" w:hAnsi="Robo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F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6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6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6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6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7F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BD671F"/>
    <w:rPr>
      <w:rFonts w:ascii="Roboto" w:hAnsi="Roboto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737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F2C"/>
    <w:rPr>
      <w:rFonts w:asciiTheme="majorHAnsi" w:eastAsiaTheme="majorEastAsia" w:hAnsiTheme="majorHAnsi" w:cstheme="majorBidi"/>
      <w:b/>
      <w:bCs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F7F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7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F2C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7F2C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F7F2C"/>
    <w:rPr>
      <w:i w:val="0"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CF7F2C"/>
    <w:rPr>
      <w:i w:val="0"/>
      <w:iCs/>
    </w:rPr>
  </w:style>
  <w:style w:type="character" w:styleId="Wyrnienieintensywne">
    <w:name w:val="Intense Emphasis"/>
    <w:basedOn w:val="Domylnaczcionkaakapitu"/>
    <w:uiPriority w:val="21"/>
    <w:qFormat/>
    <w:rsid w:val="00CF7F2C"/>
    <w:rPr>
      <w:b/>
      <w:bCs/>
      <w:i w:val="0"/>
      <w:iCs/>
      <w:color w:val="auto"/>
    </w:rPr>
  </w:style>
  <w:style w:type="character" w:styleId="Pogrubienie">
    <w:name w:val="Strong"/>
    <w:basedOn w:val="Domylnaczcionkaakapitu"/>
    <w:uiPriority w:val="22"/>
    <w:qFormat/>
    <w:rsid w:val="00CF7F2C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CF7F2C"/>
    <w:rPr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F7F2C"/>
    <w:rPr>
      <w:iCs/>
      <w:color w:val="000000" w:themeColor="text1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F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F2C"/>
    <w:rPr>
      <w:b/>
      <w:bCs/>
      <w:iCs/>
      <w:sz w:val="20"/>
    </w:rPr>
  </w:style>
  <w:style w:type="character" w:styleId="Odwoaniedelikatne">
    <w:name w:val="Subtle Reference"/>
    <w:basedOn w:val="Domylnaczcionkaakapitu"/>
    <w:uiPriority w:val="31"/>
    <w:qFormat/>
    <w:rsid w:val="00CF7F2C"/>
    <w:rPr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32"/>
    <w:qFormat/>
    <w:rsid w:val="00CF7F2C"/>
    <w:rPr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F7F2C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CF7F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6F4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F41"/>
    <w:rPr>
      <w:rFonts w:ascii="Univers" w:hAnsi="Univers"/>
      <w:sz w:val="20"/>
    </w:rPr>
  </w:style>
  <w:style w:type="paragraph" w:styleId="Stopka">
    <w:name w:val="footer"/>
    <w:basedOn w:val="Normalny"/>
    <w:link w:val="StopkaZnak"/>
    <w:uiPriority w:val="99"/>
    <w:unhideWhenUsed/>
    <w:rsid w:val="00FE6F4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F41"/>
    <w:rPr>
      <w:rFonts w:ascii="Univers" w:hAnsi="Univer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A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A0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628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628"/>
    <w:rPr>
      <w:rFonts w:eastAsiaTheme="majorEastAsia" w:cstheme="majorBidi"/>
      <w:color w:val="365F9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62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628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62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628"/>
    <w:rPr>
      <w:rFonts w:eastAsiaTheme="majorEastAsia" w:cstheme="majorBidi"/>
      <w:color w:val="272727" w:themeColor="text1" w:themeTint="D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ros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ose-Sitech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0" tIns="0" rIns="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6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Univers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0" tIns="0" rIns="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6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Univers" pitchFamily="34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D9D6D1"/>
        </a:lt2>
        <a:accent1>
          <a:srgbClr val="ADADAD"/>
        </a:accent1>
        <a:accent2>
          <a:srgbClr val="C5CEDC"/>
        </a:accent2>
        <a:accent3>
          <a:srgbClr val="FFFFFF"/>
        </a:accent3>
        <a:accent4>
          <a:srgbClr val="000000"/>
        </a:accent4>
        <a:accent5>
          <a:srgbClr val="D3D3D3"/>
        </a:accent5>
        <a:accent6>
          <a:srgbClr val="B2BAC7"/>
        </a:accent6>
        <a:hlink>
          <a:srgbClr val="003E6A"/>
        </a:hlink>
        <a:folHlink>
          <a:srgbClr val="8096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2286</Characters>
  <Application>Microsoft Office Word</Application>
  <DocSecurity>0</DocSecurity>
  <Lines>19</Lines>
  <Paragraphs>5</Paragraphs>
  <ScaleCrop>false</ScaleCrop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2026-01-20T09:36:00Z</dcterms:created>
  <dcterms:modified xsi:type="dcterms:W3CDTF">2026-01-20T10:49:00Z</dcterms:modified>
</cp:coreProperties>
</file>